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DB" w:rsidRPr="00647FA2" w:rsidRDefault="00FF69F4" w:rsidP="004929D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F4441">
        <w:rPr>
          <w:b/>
          <w:sz w:val="24"/>
          <w:szCs w:val="24"/>
        </w:rPr>
        <w:t>Š</w:t>
      </w:r>
      <w:r w:rsidR="004929DB" w:rsidRPr="00647FA2">
        <w:rPr>
          <w:b/>
          <w:sz w:val="24"/>
          <w:szCs w:val="24"/>
        </w:rPr>
        <w:t xml:space="preserve"> EUGENA KVATERNIKA</w:t>
      </w:r>
    </w:p>
    <w:p w:rsidR="004929DB" w:rsidRPr="004929DB" w:rsidRDefault="004929DB" w:rsidP="004929DB">
      <w:pPr>
        <w:pStyle w:val="Bezproreda"/>
        <w:rPr>
          <w:b/>
        </w:rPr>
      </w:pPr>
      <w:r w:rsidRPr="004929DB">
        <w:rPr>
          <w:b/>
        </w:rPr>
        <w:t>ŠKOLSKA 4, 10410 VELIKA GORICA</w:t>
      </w:r>
    </w:p>
    <w:p w:rsidR="004929DB" w:rsidRDefault="004929DB" w:rsidP="004929DB">
      <w:pPr>
        <w:pStyle w:val="Bezproreda"/>
      </w:pPr>
      <w:r>
        <w:t>MB/OIB: 03216195/01172696565</w:t>
      </w:r>
    </w:p>
    <w:p w:rsidR="004929DB" w:rsidRDefault="004929DB" w:rsidP="004929DB">
      <w:pPr>
        <w:pStyle w:val="Bezproreda"/>
      </w:pPr>
      <w:r>
        <w:t>Razina: 31, Razdjel: 000</w:t>
      </w:r>
    </w:p>
    <w:p w:rsidR="001F395B" w:rsidRDefault="004929DB" w:rsidP="004929DB">
      <w:pPr>
        <w:pStyle w:val="Bezproreda"/>
      </w:pPr>
      <w:r>
        <w:t>Djelatnost: 8520 Osnovno obrazovanje</w:t>
      </w:r>
    </w:p>
    <w:p w:rsidR="004929DB" w:rsidRDefault="004929DB" w:rsidP="00950D37">
      <w:pPr>
        <w:pStyle w:val="Bezproreda"/>
      </w:pPr>
      <w:r>
        <w:t>RKP: 14314</w:t>
      </w:r>
    </w:p>
    <w:p w:rsidR="001F395B" w:rsidRDefault="001F395B" w:rsidP="00950D37">
      <w:pPr>
        <w:pStyle w:val="Bezproreda"/>
      </w:pPr>
    </w:p>
    <w:p w:rsidR="004929DB" w:rsidRDefault="004929DB" w:rsidP="004929DB">
      <w:pPr>
        <w:jc w:val="center"/>
        <w:rPr>
          <w:b/>
          <w:sz w:val="32"/>
          <w:szCs w:val="32"/>
        </w:rPr>
      </w:pPr>
      <w:r w:rsidRPr="004929DB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I</w:t>
      </w:r>
      <w:r w:rsidRPr="004929DB">
        <w:rPr>
          <w:b/>
          <w:sz w:val="32"/>
          <w:szCs w:val="32"/>
        </w:rPr>
        <w:t>LJEŠKE U</w:t>
      </w:r>
      <w:r>
        <w:rPr>
          <w:b/>
          <w:sz w:val="32"/>
          <w:szCs w:val="32"/>
        </w:rPr>
        <w:t xml:space="preserve">Z </w:t>
      </w:r>
      <w:r w:rsidRPr="004929DB">
        <w:rPr>
          <w:b/>
          <w:sz w:val="32"/>
          <w:szCs w:val="32"/>
        </w:rPr>
        <w:t xml:space="preserve"> FINANCIJSKA IZVJEŠĆA</w:t>
      </w:r>
    </w:p>
    <w:p w:rsidR="004929DB" w:rsidRDefault="004929DB" w:rsidP="00492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OD 0</w:t>
      </w:r>
      <w:r w:rsidR="00467803">
        <w:rPr>
          <w:b/>
          <w:sz w:val="24"/>
          <w:szCs w:val="24"/>
        </w:rPr>
        <w:t>1. SIJEČNJA DO 31. PROSINCA 20</w:t>
      </w:r>
      <w:r w:rsidR="00AF4441">
        <w:rPr>
          <w:b/>
          <w:sz w:val="24"/>
          <w:szCs w:val="24"/>
        </w:rPr>
        <w:t>20</w:t>
      </w:r>
      <w:r w:rsidR="00F408B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GODINE</w:t>
      </w:r>
    </w:p>
    <w:p w:rsidR="004929DB" w:rsidRPr="00492D07" w:rsidRDefault="004929DB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OSNOVNI PODACI O USTANOVI</w:t>
      </w:r>
    </w:p>
    <w:p w:rsidR="004929DB" w:rsidRDefault="004929DB" w:rsidP="00950D37">
      <w:pPr>
        <w:pStyle w:val="Bezproreda"/>
      </w:pPr>
      <w:r>
        <w:t>Osnovna škola Eugena Kvaternika je obrazovna ustanova, te posluje sukladno Zakonu o ustanovama (</w:t>
      </w:r>
      <w:r w:rsidR="00467803">
        <w:t>NN76/93, 29/97, 47/99, 35/08) i donesenom</w:t>
      </w:r>
      <w:r w:rsidR="00492D07">
        <w:t xml:space="preserve"> Statutu.</w:t>
      </w:r>
    </w:p>
    <w:p w:rsidR="00492D07" w:rsidRDefault="00492D07" w:rsidP="00950D37">
      <w:pPr>
        <w:pStyle w:val="Bezproreda"/>
      </w:pPr>
      <w:r>
        <w:t>Statut uređu</w:t>
      </w:r>
      <w:r w:rsidR="00296936">
        <w:t>je status, naziv i sjedište OŠ</w:t>
      </w:r>
      <w:r>
        <w:t xml:space="preserve"> Eugena Kvaternika, za</w:t>
      </w:r>
      <w:r w:rsidR="002C02A7">
        <w:t>s</w:t>
      </w:r>
      <w:r>
        <w:t>tupanje i predstavljanje, odgovornost za obveze, djelatnost, ustrojstvo, vođenje i upravljanje, djelokrug i način rada, opće akte, te druga pitanja važna za obavljanje djelatnosti škole.</w:t>
      </w:r>
    </w:p>
    <w:p w:rsidR="00492D07" w:rsidRDefault="00B45C5C" w:rsidP="00950D37">
      <w:pPr>
        <w:pStyle w:val="Bezproreda"/>
      </w:pPr>
      <w:r>
        <w:t>U 2021</w:t>
      </w:r>
      <w:r w:rsidR="00492D07">
        <w:t>. godini odgovorna osoba za zastupa</w:t>
      </w:r>
      <w:r w:rsidR="00CF5A9A">
        <w:t xml:space="preserve">nje, na mjestu ravnatelja je </w:t>
      </w:r>
      <w:r w:rsidR="00467803">
        <w:t>Monika Brleković</w:t>
      </w:r>
      <w:r w:rsidR="00F408BA">
        <w:t xml:space="preserve"> </w:t>
      </w:r>
      <w:proofErr w:type="spellStart"/>
      <w:r w:rsidR="00F408BA">
        <w:t>odn</w:t>
      </w:r>
      <w:proofErr w:type="spellEnd"/>
      <w:r w:rsidR="00F408BA">
        <w:t>. zamjenica ravnatelja Melita Delić</w:t>
      </w:r>
      <w:r w:rsidR="00467803">
        <w:t>.</w:t>
      </w:r>
    </w:p>
    <w:p w:rsidR="00950D37" w:rsidRDefault="00950D37" w:rsidP="00950D37">
      <w:pPr>
        <w:pStyle w:val="Bezproreda"/>
      </w:pPr>
    </w:p>
    <w:p w:rsidR="00492D07" w:rsidRDefault="00492D07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RAČUNOVODSTVENE POLITIKE</w:t>
      </w:r>
    </w:p>
    <w:p w:rsidR="007258B8" w:rsidRDefault="00492D07" w:rsidP="00950D37">
      <w:pPr>
        <w:pStyle w:val="Bezproreda"/>
      </w:pPr>
      <w:r w:rsidRPr="00492D07">
        <w:t>Računovodstvene politike koje su se koristile prilikom sastavljanja financijskih izvještaja su temeljene na Zakonu o proračunu (NN 87/08, 136/12), Pravilniku o proračunskom računovodstvu i računskom planu, Pravilniku o financijskom izvještavan</w:t>
      </w:r>
      <w:r w:rsidR="00950D37">
        <w:t>ju u proračunskom računovodstvu.</w:t>
      </w:r>
    </w:p>
    <w:p w:rsidR="00950D37" w:rsidRPr="00492D07" w:rsidRDefault="00950D37" w:rsidP="00950D37">
      <w:pPr>
        <w:pStyle w:val="Bezproreda"/>
      </w:pPr>
    </w:p>
    <w:p w:rsidR="00B974A3" w:rsidRPr="00B974A3" w:rsidRDefault="00EB1C29" w:rsidP="00B974A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</w:t>
      </w:r>
      <w:r w:rsidR="004929DB" w:rsidRPr="00492D07">
        <w:rPr>
          <w:b/>
          <w:sz w:val="24"/>
          <w:szCs w:val="24"/>
        </w:rPr>
        <w:t>PR-RAS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8309"/>
      </w:tblGrid>
      <w:tr w:rsidR="0046419F" w:rsidTr="00B335EC">
        <w:tc>
          <w:tcPr>
            <w:tcW w:w="933" w:type="dxa"/>
          </w:tcPr>
          <w:p w:rsidR="002F2DC7" w:rsidRDefault="00AF4441" w:rsidP="00810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8619EC">
              <w:rPr>
                <w:sz w:val="20"/>
                <w:szCs w:val="20"/>
              </w:rPr>
              <w:t>001-AOP</w:t>
            </w:r>
            <w:r w:rsidR="00F408BA">
              <w:rPr>
                <w:sz w:val="20"/>
                <w:szCs w:val="20"/>
              </w:rPr>
              <w:t>1</w:t>
            </w:r>
            <w:r w:rsidR="00810DFE">
              <w:rPr>
                <w:sz w:val="20"/>
                <w:szCs w:val="20"/>
              </w:rPr>
              <w:t>45</w:t>
            </w:r>
          </w:p>
          <w:p w:rsidR="00B335EC" w:rsidRPr="00EB1C29" w:rsidRDefault="00B335EC" w:rsidP="00810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AOP669</w:t>
            </w:r>
          </w:p>
        </w:tc>
        <w:tc>
          <w:tcPr>
            <w:tcW w:w="8309" w:type="dxa"/>
          </w:tcPr>
          <w:p w:rsidR="0046419F" w:rsidRDefault="00810DFE" w:rsidP="005E1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Ukupni prihodi - </w:t>
            </w:r>
            <w:r w:rsidR="00F408BA">
              <w:rPr>
                <w:sz w:val="20"/>
                <w:szCs w:val="20"/>
              </w:rPr>
              <w:t xml:space="preserve">Obzirom da se stupac prethodne godine odnosi na godinu </w:t>
            </w:r>
            <w:proofErr w:type="spellStart"/>
            <w:r w:rsidR="00F408BA">
              <w:rPr>
                <w:sz w:val="20"/>
                <w:szCs w:val="20"/>
              </w:rPr>
              <w:t>pandemije</w:t>
            </w:r>
            <w:proofErr w:type="spellEnd"/>
            <w:r w:rsidR="00F408BA">
              <w:rPr>
                <w:sz w:val="20"/>
                <w:szCs w:val="20"/>
              </w:rPr>
              <w:t xml:space="preserve"> Covid-19, odvijanje nastave online te rada djelatnika od kuće, usporedni prihodi su ove godine veći povratkom u redovno poslovanje.</w:t>
            </w:r>
          </w:p>
          <w:p w:rsidR="00B335EC" w:rsidRDefault="00B335EC" w:rsidP="005E1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 rast prihoda odnosi se na veću nabavu radnih udžbenika za učenike koju refundira MZO.</w:t>
            </w:r>
          </w:p>
        </w:tc>
      </w:tr>
      <w:tr w:rsidR="004929DB" w:rsidTr="00B335EC">
        <w:tc>
          <w:tcPr>
            <w:tcW w:w="933" w:type="dxa"/>
          </w:tcPr>
          <w:p w:rsidR="00CB12E0" w:rsidRDefault="00FF4938" w:rsidP="00A67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</w:t>
            </w:r>
            <w:r w:rsidR="00A67288">
              <w:rPr>
                <w:sz w:val="20"/>
                <w:szCs w:val="20"/>
              </w:rPr>
              <w:t>45</w:t>
            </w:r>
          </w:p>
          <w:p w:rsidR="00A67288" w:rsidRPr="00EB1C29" w:rsidRDefault="00A67288" w:rsidP="00A67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AOP063</w:t>
            </w:r>
          </w:p>
        </w:tc>
        <w:tc>
          <w:tcPr>
            <w:tcW w:w="8309" w:type="dxa"/>
          </w:tcPr>
          <w:p w:rsidR="00343095" w:rsidRPr="00EB1C29" w:rsidRDefault="00A67288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Rast prihoda uzrokovan povećanjem plaća u odnosu na 2020. godinu, te projektom </w:t>
            </w:r>
            <w:r w:rsidR="00810DFE">
              <w:rPr>
                <w:sz w:val="20"/>
                <w:szCs w:val="20"/>
              </w:rPr>
              <w:t>Školska shema voća i mlijeka koja se za razliku od prethodne godine  koristila sve mjesece trajanja nastave.</w:t>
            </w:r>
          </w:p>
        </w:tc>
      </w:tr>
      <w:tr w:rsidR="004929DB" w:rsidTr="00B335EC">
        <w:tc>
          <w:tcPr>
            <w:tcW w:w="933" w:type="dxa"/>
          </w:tcPr>
          <w:p w:rsidR="00FF4938" w:rsidRPr="00EB1C29" w:rsidRDefault="00FF4938" w:rsidP="00A67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A67288">
              <w:rPr>
                <w:sz w:val="20"/>
                <w:szCs w:val="20"/>
              </w:rPr>
              <w:t>069</w:t>
            </w:r>
          </w:p>
        </w:tc>
        <w:tc>
          <w:tcPr>
            <w:tcW w:w="8309" w:type="dxa"/>
          </w:tcPr>
          <w:p w:rsidR="000E0186" w:rsidRPr="00EB1C29" w:rsidRDefault="00810DFE" w:rsidP="00A2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Kao i prethodna bilješka velika razlika u prihodima se odnosi na Projekt školska shema voća i povrća / Školska shema mlijeka koja se u prethodnom izvještajnom razdoblju nije koristila u jednakoj mjeri zbog online nastave i nastave na daljinu.</w:t>
            </w:r>
          </w:p>
        </w:tc>
      </w:tr>
      <w:tr w:rsidR="004929DB" w:rsidTr="00B335EC">
        <w:tc>
          <w:tcPr>
            <w:tcW w:w="933" w:type="dxa"/>
          </w:tcPr>
          <w:p w:rsidR="00A67288" w:rsidRDefault="003C29DF" w:rsidP="00A67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A67288">
              <w:rPr>
                <w:sz w:val="20"/>
                <w:szCs w:val="20"/>
              </w:rPr>
              <w:t>128</w:t>
            </w:r>
            <w:r w:rsidR="008619EC">
              <w:rPr>
                <w:sz w:val="20"/>
                <w:szCs w:val="20"/>
              </w:rPr>
              <w:t>-</w:t>
            </w:r>
          </w:p>
          <w:p w:rsidR="008619EC" w:rsidRPr="00EB1C29" w:rsidRDefault="00A67288" w:rsidP="0086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8619EC">
              <w:rPr>
                <w:sz w:val="20"/>
                <w:szCs w:val="20"/>
              </w:rPr>
              <w:t>131</w:t>
            </w:r>
          </w:p>
          <w:p w:rsidR="00515613" w:rsidRPr="00EB1C29" w:rsidRDefault="00515613" w:rsidP="00B974A3">
            <w:pPr>
              <w:rPr>
                <w:sz w:val="20"/>
                <w:szCs w:val="20"/>
              </w:rPr>
            </w:pPr>
          </w:p>
        </w:tc>
        <w:tc>
          <w:tcPr>
            <w:tcW w:w="8309" w:type="dxa"/>
          </w:tcPr>
          <w:p w:rsidR="00A67288" w:rsidRPr="00EB1C29" w:rsidRDefault="00A67288" w:rsidP="00C12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Povratkom redovnom poslovanju porasli su i prihodi za financiranje redovnih rashoda u odnosu na godinu ranije.</w:t>
            </w:r>
            <w:r w:rsidR="00861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Prihodi za nabavu nefinancijske imovine znatno su veći obzirom da je rashodu za investicijsko ulaganje iz 12.2020. prihod priznat u 01.2021.</w:t>
            </w:r>
          </w:p>
        </w:tc>
      </w:tr>
      <w:tr w:rsidR="004929DB" w:rsidTr="00B335EC">
        <w:trPr>
          <w:trHeight w:val="419"/>
        </w:trPr>
        <w:tc>
          <w:tcPr>
            <w:tcW w:w="933" w:type="dxa"/>
          </w:tcPr>
          <w:p w:rsidR="004929DB" w:rsidRDefault="003B6EA2" w:rsidP="00635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810DFE">
              <w:rPr>
                <w:sz w:val="20"/>
                <w:szCs w:val="20"/>
              </w:rPr>
              <w:t>146</w:t>
            </w:r>
          </w:p>
          <w:p w:rsidR="00810DFE" w:rsidRPr="00EB1C29" w:rsidRDefault="00810DFE" w:rsidP="00635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AOP279</w:t>
            </w:r>
          </w:p>
        </w:tc>
        <w:tc>
          <w:tcPr>
            <w:tcW w:w="8309" w:type="dxa"/>
          </w:tcPr>
          <w:p w:rsidR="004929DB" w:rsidRDefault="00810DFE" w:rsidP="00810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Ukupni rashodi - Proporcionalno prihodima, zbog istih razloga rasli su i rashodi poslovanja. </w:t>
            </w:r>
          </w:p>
          <w:p w:rsidR="00810DFE" w:rsidRPr="00EB1C29" w:rsidRDefault="00810DFE" w:rsidP="00810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Povećanjem plaća djelatnika, rast broja pomoćnika u nastavi, te povratku redovnim troškovima bez odvijanja nastave na daljinu.</w:t>
            </w:r>
          </w:p>
        </w:tc>
      </w:tr>
      <w:tr w:rsidR="004929DB" w:rsidTr="00B335EC">
        <w:tc>
          <w:tcPr>
            <w:tcW w:w="933" w:type="dxa"/>
          </w:tcPr>
          <w:p w:rsidR="00515613" w:rsidRPr="00EB1C29" w:rsidRDefault="00810DFE" w:rsidP="005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AOP164</w:t>
            </w:r>
          </w:p>
        </w:tc>
        <w:tc>
          <w:tcPr>
            <w:tcW w:w="8309" w:type="dxa"/>
          </w:tcPr>
          <w:p w:rsidR="004929DB" w:rsidRPr="00EB1C29" w:rsidRDefault="00810DFE" w:rsidP="0032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Najveće povećanje rashoda za materijal i energiju očituje se rastom cijena energenata u zadnja dva mjeseca izvještajne godine. Obzirom na manju potrebu manja je nabava sitnog inventara. Smanjeni broj tehničkog osoblja rezultira manjim troškom radne odjeće/obuće.</w:t>
            </w:r>
          </w:p>
        </w:tc>
      </w:tr>
      <w:tr w:rsidR="00D109D5" w:rsidTr="00B335EC">
        <w:tc>
          <w:tcPr>
            <w:tcW w:w="933" w:type="dxa"/>
          </w:tcPr>
          <w:p w:rsidR="00896E54" w:rsidRDefault="008619EC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AOP172</w:t>
            </w:r>
          </w:p>
          <w:p w:rsidR="00B335EC" w:rsidRDefault="00B335EC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AOP712</w:t>
            </w:r>
          </w:p>
        </w:tc>
        <w:tc>
          <w:tcPr>
            <w:tcW w:w="8309" w:type="dxa"/>
          </w:tcPr>
          <w:p w:rsidR="008619EC" w:rsidRDefault="008619EC" w:rsidP="0086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Velik rast rashoda za usluge odnosi se na troškove prijevoza učenika, koji su iz već navedenih razloga veći nego prethodne godine. Rast investicijskog održavanja odnosi se na sanaciju PŠ </w:t>
            </w:r>
            <w:proofErr w:type="spellStart"/>
            <w:r>
              <w:rPr>
                <w:sz w:val="20"/>
                <w:szCs w:val="20"/>
              </w:rPr>
              <w:t>Lukavec</w:t>
            </w:r>
            <w:proofErr w:type="spellEnd"/>
            <w:r>
              <w:rPr>
                <w:sz w:val="20"/>
                <w:szCs w:val="20"/>
              </w:rPr>
              <w:t xml:space="preserve"> koja je stradala u potresu 29.12.2020. te na</w:t>
            </w:r>
            <w:r w:rsidR="00325348">
              <w:rPr>
                <w:sz w:val="20"/>
                <w:szCs w:val="20"/>
              </w:rPr>
              <w:t>rast ostalih usluga na</w:t>
            </w:r>
            <w:r>
              <w:rPr>
                <w:sz w:val="20"/>
                <w:szCs w:val="20"/>
              </w:rPr>
              <w:t xml:space="preserve"> trošak procjene štete PŠ </w:t>
            </w:r>
            <w:proofErr w:type="spellStart"/>
            <w:r>
              <w:rPr>
                <w:sz w:val="20"/>
                <w:szCs w:val="20"/>
              </w:rPr>
              <w:t>Dubranec</w:t>
            </w:r>
            <w:proofErr w:type="spellEnd"/>
            <w:r>
              <w:rPr>
                <w:sz w:val="20"/>
                <w:szCs w:val="20"/>
              </w:rPr>
              <w:t xml:space="preserve"> čija će izgradnja uskoro započeti .Zdravstvene usluge </w:t>
            </w:r>
            <w:r w:rsidR="00325348">
              <w:rPr>
                <w:sz w:val="20"/>
                <w:szCs w:val="20"/>
              </w:rPr>
              <w:t>porasle su</w:t>
            </w:r>
            <w:r>
              <w:rPr>
                <w:sz w:val="20"/>
                <w:szCs w:val="20"/>
              </w:rPr>
              <w:t xml:space="preserve"> jer u prethodnom izvještajnom razdoblju nije bilo troška sistematskih pregleda zaposlenika. </w:t>
            </w:r>
          </w:p>
        </w:tc>
      </w:tr>
      <w:tr w:rsidR="008619EC" w:rsidTr="00B335EC">
        <w:tc>
          <w:tcPr>
            <w:tcW w:w="933" w:type="dxa"/>
          </w:tcPr>
          <w:p w:rsidR="008619EC" w:rsidRDefault="008619EC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AOP183</w:t>
            </w:r>
          </w:p>
          <w:p w:rsidR="00325348" w:rsidRDefault="00325348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AOP191</w:t>
            </w:r>
          </w:p>
          <w:p w:rsidR="00325348" w:rsidRDefault="00325348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AOP205</w:t>
            </w:r>
          </w:p>
        </w:tc>
        <w:tc>
          <w:tcPr>
            <w:tcW w:w="8309" w:type="dxa"/>
          </w:tcPr>
          <w:p w:rsidR="008619EC" w:rsidRDefault="00325348" w:rsidP="00325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Porast ovih rashoda u odnosu na prošlo izvještajno razdoblje rezultat su isplate sredstava po </w:t>
            </w:r>
            <w:r>
              <w:rPr>
                <w:sz w:val="20"/>
                <w:szCs w:val="20"/>
              </w:rPr>
              <w:lastRenderedPageBreak/>
              <w:t xml:space="preserve">pravomoćnim presudama prema tužbama zaposlenika vezanih za isplate razlike plaća za 2016. godinu. </w:t>
            </w:r>
          </w:p>
        </w:tc>
      </w:tr>
      <w:tr w:rsidR="008619EC" w:rsidTr="00B335EC">
        <w:tc>
          <w:tcPr>
            <w:tcW w:w="933" w:type="dxa"/>
          </w:tcPr>
          <w:p w:rsidR="008619EC" w:rsidRDefault="00325348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AOP247</w:t>
            </w:r>
            <w:r w:rsidR="00B45C5C">
              <w:rPr>
                <w:sz w:val="20"/>
                <w:szCs w:val="20"/>
              </w:rPr>
              <w:t>-</w:t>
            </w:r>
          </w:p>
          <w:p w:rsidR="00B335EC" w:rsidRDefault="00B45C5C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AOP256</w:t>
            </w:r>
          </w:p>
        </w:tc>
        <w:tc>
          <w:tcPr>
            <w:tcW w:w="8309" w:type="dxa"/>
          </w:tcPr>
          <w:p w:rsidR="008619EC" w:rsidRDefault="00325348" w:rsidP="0086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Rast rashoda se odnosi na veći broj nabave radnih udžbenika za učenike. </w:t>
            </w:r>
            <w:r w:rsidR="00B45C5C">
              <w:rPr>
                <w:sz w:val="20"/>
                <w:szCs w:val="20"/>
              </w:rPr>
              <w:t>Odnosi se i na AOP820.</w:t>
            </w:r>
          </w:p>
          <w:p w:rsidR="00B335EC" w:rsidRDefault="00B335EC" w:rsidP="008619EC">
            <w:pPr>
              <w:rPr>
                <w:sz w:val="20"/>
                <w:szCs w:val="20"/>
              </w:rPr>
            </w:pPr>
          </w:p>
        </w:tc>
      </w:tr>
      <w:tr w:rsidR="008619EC" w:rsidTr="00B335EC">
        <w:tc>
          <w:tcPr>
            <w:tcW w:w="933" w:type="dxa"/>
          </w:tcPr>
          <w:p w:rsidR="008619EC" w:rsidRDefault="00325348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AOP344</w:t>
            </w:r>
          </w:p>
          <w:p w:rsidR="00B335EC" w:rsidRDefault="00B335EC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AOP377</w:t>
            </w:r>
          </w:p>
        </w:tc>
        <w:tc>
          <w:tcPr>
            <w:tcW w:w="8309" w:type="dxa"/>
          </w:tcPr>
          <w:p w:rsidR="008619EC" w:rsidRDefault="00325348" w:rsidP="0086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rashodi za nabavu nefinancijske imovine su manji jer ove godine nije bila potreba nabavljati jednaki broj udžbenika obzirom da je nabava izvršena godinu ranije.</w:t>
            </w:r>
          </w:p>
        </w:tc>
      </w:tr>
      <w:tr w:rsidR="008619EC" w:rsidTr="00B335EC">
        <w:tc>
          <w:tcPr>
            <w:tcW w:w="933" w:type="dxa"/>
          </w:tcPr>
          <w:p w:rsidR="008619EC" w:rsidRDefault="00325348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AOP363</w:t>
            </w:r>
          </w:p>
        </w:tc>
        <w:tc>
          <w:tcPr>
            <w:tcW w:w="8309" w:type="dxa"/>
          </w:tcPr>
          <w:p w:rsidR="008619EC" w:rsidRDefault="00325348" w:rsidP="0086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prethodnom izvještajnom razdoblju MZO je doznačilo sredstva za nabavu prijenosnih računala</w:t>
            </w:r>
            <w:r w:rsidR="00B335EC">
              <w:rPr>
                <w:sz w:val="20"/>
                <w:szCs w:val="20"/>
              </w:rPr>
              <w:t xml:space="preserve">, što ove godine nije bio slučaj, </w:t>
            </w:r>
            <w:proofErr w:type="spellStart"/>
            <w:r w:rsidR="00B335EC">
              <w:rPr>
                <w:sz w:val="20"/>
                <w:szCs w:val="20"/>
              </w:rPr>
              <w:t>odn</w:t>
            </w:r>
            <w:proofErr w:type="spellEnd"/>
            <w:r w:rsidR="00B335EC">
              <w:rPr>
                <w:sz w:val="20"/>
                <w:szCs w:val="20"/>
              </w:rPr>
              <w:t xml:space="preserve">. nije bilo nabave </w:t>
            </w:r>
            <w:proofErr w:type="spellStart"/>
            <w:r w:rsidR="00B335EC">
              <w:rPr>
                <w:sz w:val="20"/>
                <w:szCs w:val="20"/>
              </w:rPr>
              <w:t>kurikularne</w:t>
            </w:r>
            <w:proofErr w:type="spellEnd"/>
            <w:r w:rsidR="00B335EC">
              <w:rPr>
                <w:sz w:val="20"/>
                <w:szCs w:val="20"/>
              </w:rPr>
              <w:t xml:space="preserve"> opreme.</w:t>
            </w:r>
          </w:p>
        </w:tc>
      </w:tr>
      <w:tr w:rsidR="008619EC" w:rsidTr="00B335EC">
        <w:tc>
          <w:tcPr>
            <w:tcW w:w="933" w:type="dxa"/>
          </w:tcPr>
          <w:p w:rsidR="008619EC" w:rsidRDefault="00B335EC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AOP402</w:t>
            </w:r>
          </w:p>
        </w:tc>
        <w:tc>
          <w:tcPr>
            <w:tcW w:w="8309" w:type="dxa"/>
          </w:tcPr>
          <w:p w:rsidR="008619EC" w:rsidRDefault="00B335EC" w:rsidP="0086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Vezano za prethodnu bilješku manjak prihoda od nefinancijske imovine manji je zbog manjih rashoda za nabavu opreme.</w:t>
            </w:r>
          </w:p>
        </w:tc>
      </w:tr>
      <w:tr w:rsidR="008619EC" w:rsidTr="00B335EC">
        <w:tc>
          <w:tcPr>
            <w:tcW w:w="933" w:type="dxa"/>
          </w:tcPr>
          <w:p w:rsidR="008619EC" w:rsidRDefault="00B335EC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AOP637</w:t>
            </w:r>
          </w:p>
          <w:p w:rsidR="00B335EC" w:rsidRDefault="00B335EC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AOP411</w:t>
            </w:r>
          </w:p>
        </w:tc>
        <w:tc>
          <w:tcPr>
            <w:tcW w:w="8309" w:type="dxa"/>
          </w:tcPr>
          <w:p w:rsidR="008619EC" w:rsidRDefault="00B335EC" w:rsidP="0086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 godine je ostvaren višak prihoda od 6.598 kn, što uz prenes</w:t>
            </w:r>
            <w:r w:rsidR="00BC0B6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ni manjak u iznosu od 560.469 iznosi rezultat -553.869 kn. </w:t>
            </w:r>
          </w:p>
        </w:tc>
      </w:tr>
    </w:tbl>
    <w:p w:rsidR="004B3D64" w:rsidRDefault="004B3D64" w:rsidP="008831F3"/>
    <w:p w:rsidR="002D5952" w:rsidRDefault="002D5952" w:rsidP="002D59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Obrazac BILANCA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2D5952" w:rsidTr="002D5952">
        <w:tc>
          <w:tcPr>
            <w:tcW w:w="959" w:type="dxa"/>
          </w:tcPr>
          <w:p w:rsidR="002D5952" w:rsidRDefault="00EA2E77" w:rsidP="00B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AOP0</w:t>
            </w:r>
            <w:r w:rsidR="00B335EC">
              <w:rPr>
                <w:sz w:val="20"/>
                <w:szCs w:val="20"/>
              </w:rPr>
              <w:t>81</w:t>
            </w:r>
          </w:p>
          <w:p w:rsidR="00BC0B6B" w:rsidRPr="002D5952" w:rsidRDefault="00BC0B6B" w:rsidP="00B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AOP261</w:t>
            </w:r>
          </w:p>
        </w:tc>
        <w:tc>
          <w:tcPr>
            <w:tcW w:w="8283" w:type="dxa"/>
          </w:tcPr>
          <w:p w:rsidR="002D5952" w:rsidRPr="002D5952" w:rsidRDefault="00B335EC" w:rsidP="00FF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Obzirom da HZZO </w:t>
            </w:r>
            <w:r w:rsidR="00BC0B6B">
              <w:rPr>
                <w:sz w:val="20"/>
                <w:szCs w:val="20"/>
              </w:rPr>
              <w:t>nije refundirao potraživanja naknada za bolovanje za cijelu godinu nego samo dio 2020. godine, čime evidentna je razlika u odnosu na prethodno izvještajno razdoblje.</w:t>
            </w:r>
          </w:p>
        </w:tc>
      </w:tr>
      <w:tr w:rsidR="002D5952" w:rsidTr="002D5952">
        <w:tc>
          <w:tcPr>
            <w:tcW w:w="959" w:type="dxa"/>
          </w:tcPr>
          <w:p w:rsidR="00861B5D" w:rsidRPr="002D5952" w:rsidRDefault="008A10E2" w:rsidP="00BC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BC0B6B">
              <w:rPr>
                <w:sz w:val="20"/>
                <w:szCs w:val="20"/>
              </w:rPr>
              <w:t>173</w:t>
            </w:r>
          </w:p>
        </w:tc>
        <w:tc>
          <w:tcPr>
            <w:tcW w:w="8283" w:type="dxa"/>
          </w:tcPr>
          <w:p w:rsidR="00242F87" w:rsidRPr="002D5952" w:rsidRDefault="00BC0B6B" w:rsidP="00393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Obzirom na rast cijena energenata i na veći broj ulaznih računa na kraju izvještajnog razdoblja veće su obveze u odnosu na prethodnu godinu.</w:t>
            </w:r>
          </w:p>
        </w:tc>
      </w:tr>
      <w:tr w:rsidR="002D5952" w:rsidTr="002D5952">
        <w:tc>
          <w:tcPr>
            <w:tcW w:w="959" w:type="dxa"/>
          </w:tcPr>
          <w:p w:rsidR="00861B5D" w:rsidRDefault="00600046" w:rsidP="00BC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BC0B6B">
              <w:rPr>
                <w:sz w:val="20"/>
                <w:szCs w:val="20"/>
              </w:rPr>
              <w:t>183</w:t>
            </w:r>
          </w:p>
          <w:p w:rsidR="00BC0B6B" w:rsidRPr="002D5952" w:rsidRDefault="00BC0B6B" w:rsidP="00BC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AOP283</w:t>
            </w:r>
          </w:p>
        </w:tc>
        <w:tc>
          <w:tcPr>
            <w:tcW w:w="8283" w:type="dxa"/>
          </w:tcPr>
          <w:p w:rsidR="002D5952" w:rsidRPr="002D5952" w:rsidRDefault="00BC0B6B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kraju ovog izvještajnog razdoblja nije bilo troška za investicijsko održavanje koja na kraju prethodnog razdoblja što čini prikazanu razliku.</w:t>
            </w:r>
          </w:p>
        </w:tc>
      </w:tr>
      <w:tr w:rsidR="002D5952" w:rsidTr="002D5952">
        <w:tc>
          <w:tcPr>
            <w:tcW w:w="959" w:type="dxa"/>
          </w:tcPr>
          <w:p w:rsidR="009F02BB" w:rsidRPr="002D5952" w:rsidRDefault="006F7824" w:rsidP="00BC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</w:t>
            </w:r>
            <w:r w:rsidR="00BC0B6B">
              <w:rPr>
                <w:sz w:val="20"/>
                <w:szCs w:val="20"/>
              </w:rPr>
              <w:t>246</w:t>
            </w:r>
          </w:p>
        </w:tc>
        <w:tc>
          <w:tcPr>
            <w:tcW w:w="8283" w:type="dxa"/>
          </w:tcPr>
          <w:p w:rsidR="00861B5D" w:rsidRPr="002D5952" w:rsidRDefault="00BC0B6B" w:rsidP="00FD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Manjak primitaka od nefinancijske imovine uvećan je za preneseni manjak iz prethodnog razdoblja.</w:t>
            </w:r>
          </w:p>
        </w:tc>
      </w:tr>
    </w:tbl>
    <w:p w:rsidR="00457DE2" w:rsidRDefault="00457DE2" w:rsidP="002D5952">
      <w:pPr>
        <w:rPr>
          <w:b/>
        </w:rPr>
      </w:pPr>
    </w:p>
    <w:p w:rsidR="003D7BC6" w:rsidRDefault="003D7BC6" w:rsidP="003D7BC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Obrazac RAS-funkcijski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763355" w:rsidRPr="002D5952" w:rsidTr="009E77FF">
        <w:tc>
          <w:tcPr>
            <w:tcW w:w="959" w:type="dxa"/>
          </w:tcPr>
          <w:p w:rsidR="00763355" w:rsidRDefault="00763355" w:rsidP="00763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</w:t>
            </w:r>
            <w:r w:rsidR="00212291">
              <w:rPr>
                <w:sz w:val="20"/>
                <w:szCs w:val="20"/>
              </w:rPr>
              <w:t>13</w:t>
            </w:r>
          </w:p>
          <w:p w:rsidR="00212291" w:rsidRPr="002D5952" w:rsidRDefault="00212291" w:rsidP="00763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AOP122</w:t>
            </w:r>
          </w:p>
        </w:tc>
        <w:tc>
          <w:tcPr>
            <w:tcW w:w="8283" w:type="dxa"/>
          </w:tcPr>
          <w:p w:rsidR="00763355" w:rsidRPr="002D5952" w:rsidRDefault="00212291" w:rsidP="0009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Obuhvaća ukupne rashode poslovanja gdje su na AOP 122 posebno iskazani rashodi školske kuhinje - prehrana i produženi boravak.</w:t>
            </w:r>
            <w:r w:rsidR="00763355">
              <w:rPr>
                <w:sz w:val="20"/>
                <w:szCs w:val="20"/>
              </w:rPr>
              <w:t xml:space="preserve"> </w:t>
            </w:r>
          </w:p>
        </w:tc>
      </w:tr>
    </w:tbl>
    <w:p w:rsidR="003D7BC6" w:rsidRDefault="003D7BC6" w:rsidP="002D5952">
      <w:pPr>
        <w:rPr>
          <w:b/>
        </w:rPr>
      </w:pPr>
      <w:r>
        <w:rPr>
          <w:b/>
        </w:rPr>
        <w:tab/>
      </w:r>
    </w:p>
    <w:p w:rsidR="004929DB" w:rsidRPr="003D7BC6" w:rsidRDefault="00DF2DF4" w:rsidP="001F395B">
      <w:pPr>
        <w:pStyle w:val="Odlomakpopisa"/>
        <w:rPr>
          <w:b/>
        </w:rPr>
      </w:pPr>
      <w:r w:rsidRPr="003D7BC6">
        <w:rPr>
          <w:b/>
        </w:rPr>
        <w:t>Obrazac OBVEZE</w:t>
      </w:r>
    </w:p>
    <w:p w:rsidR="00DF2DF4" w:rsidRDefault="00DF2DF4" w:rsidP="007F7E24">
      <w:pPr>
        <w:pStyle w:val="Bezproreda"/>
      </w:pPr>
      <w:r w:rsidRPr="00B75CA2">
        <w:t xml:space="preserve">Stanje obveza </w:t>
      </w:r>
      <w:r w:rsidR="00435E66" w:rsidRPr="00B75CA2">
        <w:t xml:space="preserve"> </w:t>
      </w:r>
      <w:r w:rsidR="00B75CA2" w:rsidRPr="00B75CA2">
        <w:t xml:space="preserve">na kraju izvještajnog razdoblja iznosi </w:t>
      </w:r>
      <w:r w:rsidR="005D61FB">
        <w:t xml:space="preserve"> </w:t>
      </w:r>
      <w:r w:rsidR="00BC0B6B">
        <w:t>951.380,23</w:t>
      </w:r>
      <w:r w:rsidR="00B75CA2">
        <w:t xml:space="preserve"> kun</w:t>
      </w:r>
      <w:r w:rsidR="0049493C">
        <w:t>a</w:t>
      </w:r>
      <w:r w:rsidR="00B75CA2">
        <w:t>.</w:t>
      </w:r>
    </w:p>
    <w:p w:rsidR="00C5472B" w:rsidRDefault="00973196" w:rsidP="007F7E24">
      <w:pPr>
        <w:pStyle w:val="Bezproreda"/>
        <w:rPr>
          <w:u w:val="single"/>
        </w:rPr>
      </w:pPr>
      <w:r w:rsidRPr="00973196">
        <w:rPr>
          <w:u w:val="single"/>
        </w:rPr>
        <w:t xml:space="preserve">Obveze </w:t>
      </w:r>
      <w:r w:rsidR="002D4FFA">
        <w:rPr>
          <w:u w:val="single"/>
        </w:rPr>
        <w:t xml:space="preserve">za plaće i doprinose                              </w:t>
      </w:r>
      <w:r w:rsidR="005D61FB">
        <w:rPr>
          <w:u w:val="single"/>
        </w:rPr>
        <w:t xml:space="preserve">                               </w:t>
      </w:r>
      <w:r w:rsidR="00BC0B6B">
        <w:rPr>
          <w:u w:val="single"/>
        </w:rPr>
        <w:t>73.726,03</w:t>
      </w:r>
      <w:r w:rsidR="002D4FFA">
        <w:rPr>
          <w:u w:val="single"/>
        </w:rPr>
        <w:t xml:space="preserve"> </w:t>
      </w:r>
      <w:r w:rsidR="005D61FB">
        <w:rPr>
          <w:u w:val="single"/>
        </w:rPr>
        <w:t xml:space="preserve"> </w:t>
      </w:r>
      <w:r w:rsidR="002D4FFA">
        <w:rPr>
          <w:u w:val="single"/>
        </w:rPr>
        <w:t xml:space="preserve"> </w:t>
      </w:r>
      <w:r w:rsidR="00D77126">
        <w:rPr>
          <w:u w:val="single"/>
        </w:rPr>
        <w:t>kn</w:t>
      </w:r>
      <w:r>
        <w:rPr>
          <w:u w:val="single"/>
        </w:rPr>
        <w:t xml:space="preserve">            </w:t>
      </w:r>
    </w:p>
    <w:p w:rsidR="00BA2BE7" w:rsidRDefault="00C5472B" w:rsidP="007F7E24">
      <w:pPr>
        <w:pStyle w:val="Bezproreda"/>
        <w:rPr>
          <w:u w:val="single"/>
        </w:rPr>
      </w:pPr>
      <w:r>
        <w:rPr>
          <w:u w:val="single"/>
        </w:rPr>
        <w:t>Ostale</w:t>
      </w:r>
      <w:r w:rsidR="00FA74FE">
        <w:rPr>
          <w:u w:val="single"/>
        </w:rPr>
        <w:t xml:space="preserve"> obveze</w:t>
      </w:r>
      <w:r>
        <w:rPr>
          <w:u w:val="single"/>
        </w:rPr>
        <w:t xml:space="preserve"> </w:t>
      </w:r>
      <w:r w:rsidR="00D77126">
        <w:rPr>
          <w:u w:val="single"/>
        </w:rPr>
        <w:t>za materijalne</w:t>
      </w:r>
      <w:r w:rsidR="00BA2BE7">
        <w:rPr>
          <w:u w:val="single"/>
        </w:rPr>
        <w:t xml:space="preserve"> i financijske rashode </w:t>
      </w:r>
      <w:r w:rsidR="00FA74FE">
        <w:rPr>
          <w:u w:val="single"/>
        </w:rPr>
        <w:t xml:space="preserve">     </w:t>
      </w:r>
      <w:r w:rsidR="00BA2BE7">
        <w:rPr>
          <w:u w:val="single"/>
        </w:rPr>
        <w:t xml:space="preserve">          </w:t>
      </w:r>
      <w:r w:rsidR="00D77126">
        <w:rPr>
          <w:u w:val="single"/>
        </w:rPr>
        <w:t xml:space="preserve">  </w:t>
      </w:r>
      <w:r w:rsidR="00BC0B6B">
        <w:rPr>
          <w:u w:val="single"/>
        </w:rPr>
        <w:t>574.517,84</w:t>
      </w:r>
      <w:r w:rsidR="00185EA4">
        <w:rPr>
          <w:u w:val="single"/>
        </w:rPr>
        <w:t xml:space="preserve"> </w:t>
      </w:r>
      <w:r w:rsidR="00D77126">
        <w:rPr>
          <w:u w:val="single"/>
        </w:rPr>
        <w:t xml:space="preserve"> </w:t>
      </w:r>
      <w:r w:rsidR="0028526C">
        <w:rPr>
          <w:u w:val="single"/>
        </w:rPr>
        <w:t>_</w:t>
      </w:r>
      <w:r w:rsidR="00D77126">
        <w:rPr>
          <w:u w:val="single"/>
        </w:rPr>
        <w:t>kn</w:t>
      </w:r>
      <w:r>
        <w:rPr>
          <w:u w:val="single"/>
        </w:rPr>
        <w:t xml:space="preserve">      </w:t>
      </w:r>
    </w:p>
    <w:p w:rsidR="007E2C36" w:rsidRDefault="007E2C36" w:rsidP="007F7E24">
      <w:pPr>
        <w:pStyle w:val="Bezproreda"/>
        <w:rPr>
          <w:u w:val="single"/>
        </w:rPr>
      </w:pPr>
      <w:r>
        <w:rPr>
          <w:u w:val="single"/>
        </w:rPr>
        <w:t>P</w:t>
      </w:r>
      <w:r w:rsidR="005D61FB">
        <w:rPr>
          <w:u w:val="single"/>
        </w:rPr>
        <w:t xml:space="preserve">otraživanja za naknade koje se refundiraju                              </w:t>
      </w:r>
      <w:r w:rsidR="00BC0B6B">
        <w:rPr>
          <w:u w:val="single"/>
        </w:rPr>
        <w:t>303.136,36</w:t>
      </w:r>
      <w:r w:rsidR="0028526C">
        <w:rPr>
          <w:u w:val="single"/>
        </w:rPr>
        <w:t>_</w:t>
      </w:r>
      <w:r w:rsidR="00611129">
        <w:rPr>
          <w:u w:val="single"/>
        </w:rPr>
        <w:t xml:space="preserve"> </w:t>
      </w:r>
      <w:r w:rsidR="00BA2BE7">
        <w:rPr>
          <w:u w:val="single"/>
        </w:rPr>
        <w:t xml:space="preserve"> kn    </w:t>
      </w:r>
    </w:p>
    <w:p w:rsidR="007F7E24" w:rsidRDefault="00216E45" w:rsidP="007F7E24">
      <w:pPr>
        <w:pStyle w:val="Bezproreda"/>
        <w:rPr>
          <w:u w:val="single"/>
        </w:rPr>
      </w:pPr>
      <w:r>
        <w:rPr>
          <w:u w:val="single"/>
        </w:rPr>
        <w:t xml:space="preserve">Obveze za povrat u proračun - blagajničko poslovanje  _______ </w:t>
      </w:r>
      <w:r w:rsidR="00611129">
        <w:rPr>
          <w:u w:val="single"/>
        </w:rPr>
        <w:t xml:space="preserve">0,00     </w:t>
      </w:r>
      <w:r>
        <w:rPr>
          <w:u w:val="single"/>
        </w:rPr>
        <w:t>__kn</w:t>
      </w:r>
      <w:r w:rsidR="00BA2BE7">
        <w:rPr>
          <w:u w:val="single"/>
        </w:rPr>
        <w:t xml:space="preserve">       </w:t>
      </w:r>
      <w:bookmarkStart w:id="0" w:name="_GoBack"/>
      <w:bookmarkEnd w:id="0"/>
    </w:p>
    <w:p w:rsidR="00D77126" w:rsidRDefault="00BA2BE7" w:rsidP="00DF2DF4">
      <w:pPr>
        <w:rPr>
          <w:u w:val="single"/>
        </w:rPr>
      </w:pPr>
      <w:r>
        <w:rPr>
          <w:u w:val="single"/>
        </w:rPr>
        <w:t xml:space="preserve">                </w:t>
      </w:r>
      <w:r w:rsidR="00C5472B">
        <w:rPr>
          <w:u w:val="single"/>
        </w:rPr>
        <w:t xml:space="preserve"> </w:t>
      </w:r>
      <w:r w:rsidR="00973196">
        <w:rPr>
          <w:u w:val="single"/>
        </w:rPr>
        <w:t xml:space="preserve">  </w:t>
      </w:r>
    </w:p>
    <w:p w:rsidR="00973196" w:rsidRPr="00776D48" w:rsidRDefault="00776D48" w:rsidP="003D7BC6">
      <w:pPr>
        <w:pStyle w:val="Odlomakpopisa"/>
        <w:numPr>
          <w:ilvl w:val="0"/>
          <w:numId w:val="2"/>
        </w:numPr>
        <w:rPr>
          <w:u w:val="single"/>
        </w:rPr>
      </w:pPr>
      <w:r>
        <w:rPr>
          <w:b/>
        </w:rPr>
        <w:t>Obrazac P-VRIO</w:t>
      </w:r>
    </w:p>
    <w:p w:rsidR="00776D48" w:rsidRDefault="00B335EC" w:rsidP="00950D37">
      <w:pPr>
        <w:pStyle w:val="Bezproreda"/>
      </w:pPr>
      <w:r>
        <w:t>U 2021</w:t>
      </w:r>
      <w:r w:rsidR="00BE4609">
        <w:t xml:space="preserve">. godini nije bilo </w:t>
      </w:r>
      <w:r w:rsidR="001F395B">
        <w:t>promjena u vrijednosti i obujmu imovine.</w:t>
      </w:r>
    </w:p>
    <w:p w:rsidR="002B3C54" w:rsidRDefault="002B3C54" w:rsidP="004929DB">
      <w:pPr>
        <w:jc w:val="center"/>
      </w:pPr>
    </w:p>
    <w:p w:rsidR="002B3C54" w:rsidRDefault="002B3C54" w:rsidP="002B3C54">
      <w:r>
        <w:t>U V</w:t>
      </w:r>
      <w:r w:rsidR="00120C12">
        <w:t>e</w:t>
      </w:r>
      <w:r w:rsidR="00EC4E0C">
        <w:t xml:space="preserve">likoj Gorici, </w:t>
      </w:r>
      <w:r w:rsidR="008619EC">
        <w:t>31</w:t>
      </w:r>
      <w:r w:rsidR="00AF4441">
        <w:t>.</w:t>
      </w:r>
      <w:r w:rsidR="00B335EC">
        <w:t>siječnja</w:t>
      </w:r>
      <w:r w:rsidR="00EC4E0C">
        <w:t>, 20</w:t>
      </w:r>
      <w:r w:rsidR="00B335EC">
        <w:t>22</w:t>
      </w:r>
      <w:r>
        <w:t xml:space="preserve">. </w:t>
      </w:r>
    </w:p>
    <w:p w:rsidR="002B3C54" w:rsidRDefault="002B3C54" w:rsidP="002B3C54">
      <w:pPr>
        <w:jc w:val="right"/>
      </w:pPr>
      <w:r>
        <w:t>Ravnatelj</w:t>
      </w:r>
      <w:r w:rsidR="00FF69F4">
        <w:t>ica škole</w:t>
      </w:r>
      <w:r>
        <w:t xml:space="preserve">: </w:t>
      </w:r>
    </w:p>
    <w:p w:rsidR="00B45C5C" w:rsidRDefault="00EC4E0C" w:rsidP="00B45C5C">
      <w:pPr>
        <w:jc w:val="right"/>
      </w:pPr>
      <w:r>
        <w:t>Monika Brleković, prof.</w:t>
      </w:r>
    </w:p>
    <w:p w:rsidR="00B45C5C" w:rsidRDefault="00B45C5C" w:rsidP="00B45C5C">
      <w:r>
        <w:t>Oso</w:t>
      </w:r>
      <w:r>
        <w:t xml:space="preserve">ba za kontakt: Danijela Kos Polt                                                                     </w:t>
      </w:r>
      <w:r w:rsidR="00AF4441">
        <w:t>zamjena Melita Delić, prof.</w:t>
      </w:r>
    </w:p>
    <w:p w:rsidR="002B3C54" w:rsidRDefault="002B3C54" w:rsidP="002B3C54">
      <w:pPr>
        <w:pStyle w:val="Bezproreda"/>
      </w:pPr>
      <w:r>
        <w:t>Tel: 01/6221 334 (13)</w:t>
      </w:r>
    </w:p>
    <w:sectPr w:rsidR="002B3C54" w:rsidSect="00D7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52C9"/>
    <w:multiLevelType w:val="hybridMultilevel"/>
    <w:tmpl w:val="16FC067A"/>
    <w:lvl w:ilvl="0" w:tplc="CF0C8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0F2A"/>
    <w:multiLevelType w:val="hybridMultilevel"/>
    <w:tmpl w:val="B074D1E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9DB"/>
    <w:rsid w:val="00007782"/>
    <w:rsid w:val="00012061"/>
    <w:rsid w:val="00015ABB"/>
    <w:rsid w:val="0002429D"/>
    <w:rsid w:val="00050EF9"/>
    <w:rsid w:val="00060E5A"/>
    <w:rsid w:val="00066FA7"/>
    <w:rsid w:val="00082A5A"/>
    <w:rsid w:val="000852CF"/>
    <w:rsid w:val="000935DB"/>
    <w:rsid w:val="000A33CB"/>
    <w:rsid w:val="000A695C"/>
    <w:rsid w:val="000A7235"/>
    <w:rsid w:val="000B5B51"/>
    <w:rsid w:val="000D31B0"/>
    <w:rsid w:val="000D708B"/>
    <w:rsid w:val="000E0186"/>
    <w:rsid w:val="000E1BB3"/>
    <w:rsid w:val="000F079F"/>
    <w:rsid w:val="00111B31"/>
    <w:rsid w:val="0011368C"/>
    <w:rsid w:val="00113CF9"/>
    <w:rsid w:val="001162F3"/>
    <w:rsid w:val="00120C12"/>
    <w:rsid w:val="00122C61"/>
    <w:rsid w:val="00125C08"/>
    <w:rsid w:val="0013771E"/>
    <w:rsid w:val="00151F34"/>
    <w:rsid w:val="001859C3"/>
    <w:rsid w:val="00185EA4"/>
    <w:rsid w:val="00196821"/>
    <w:rsid w:val="0019760E"/>
    <w:rsid w:val="001A5884"/>
    <w:rsid w:val="001B47C6"/>
    <w:rsid w:val="001B71B9"/>
    <w:rsid w:val="001D5F75"/>
    <w:rsid w:val="001E38F9"/>
    <w:rsid w:val="001E70FF"/>
    <w:rsid w:val="001F0979"/>
    <w:rsid w:val="001F2EB4"/>
    <w:rsid w:val="001F395B"/>
    <w:rsid w:val="00212291"/>
    <w:rsid w:val="00216E45"/>
    <w:rsid w:val="0021768F"/>
    <w:rsid w:val="00223C3E"/>
    <w:rsid w:val="00241495"/>
    <w:rsid w:val="00242F87"/>
    <w:rsid w:val="002478DF"/>
    <w:rsid w:val="0028526C"/>
    <w:rsid w:val="00296936"/>
    <w:rsid w:val="002B1BB6"/>
    <w:rsid w:val="002B3C54"/>
    <w:rsid w:val="002C02A7"/>
    <w:rsid w:val="002C167F"/>
    <w:rsid w:val="002D3BBE"/>
    <w:rsid w:val="002D4FFA"/>
    <w:rsid w:val="002D5952"/>
    <w:rsid w:val="002E2DE0"/>
    <w:rsid w:val="002E406A"/>
    <w:rsid w:val="002F2DC7"/>
    <w:rsid w:val="00302F7F"/>
    <w:rsid w:val="00321D67"/>
    <w:rsid w:val="00325348"/>
    <w:rsid w:val="003261F7"/>
    <w:rsid w:val="00326521"/>
    <w:rsid w:val="00331229"/>
    <w:rsid w:val="00342D35"/>
    <w:rsid w:val="00343095"/>
    <w:rsid w:val="00343B5B"/>
    <w:rsid w:val="003878D0"/>
    <w:rsid w:val="0039064B"/>
    <w:rsid w:val="00393B6C"/>
    <w:rsid w:val="003A76CD"/>
    <w:rsid w:val="003B0F3B"/>
    <w:rsid w:val="003B356A"/>
    <w:rsid w:val="003B6EA2"/>
    <w:rsid w:val="003C29DF"/>
    <w:rsid w:val="003C7AE7"/>
    <w:rsid w:val="003D7BC6"/>
    <w:rsid w:val="003E7D59"/>
    <w:rsid w:val="00415DD0"/>
    <w:rsid w:val="00417C6E"/>
    <w:rsid w:val="004266AB"/>
    <w:rsid w:val="00435E66"/>
    <w:rsid w:val="00437D52"/>
    <w:rsid w:val="00457DE2"/>
    <w:rsid w:val="0046419F"/>
    <w:rsid w:val="00467803"/>
    <w:rsid w:val="0048055E"/>
    <w:rsid w:val="00480971"/>
    <w:rsid w:val="004929DB"/>
    <w:rsid w:val="00492D07"/>
    <w:rsid w:val="004945B9"/>
    <w:rsid w:val="0049493C"/>
    <w:rsid w:val="004A2480"/>
    <w:rsid w:val="004A57D5"/>
    <w:rsid w:val="004B3D64"/>
    <w:rsid w:val="004C11A4"/>
    <w:rsid w:val="004C6DB0"/>
    <w:rsid w:val="004F00ED"/>
    <w:rsid w:val="004F7E35"/>
    <w:rsid w:val="00512C84"/>
    <w:rsid w:val="00515613"/>
    <w:rsid w:val="00530AFE"/>
    <w:rsid w:val="00543126"/>
    <w:rsid w:val="0054444D"/>
    <w:rsid w:val="005462A3"/>
    <w:rsid w:val="00560BCA"/>
    <w:rsid w:val="005614B3"/>
    <w:rsid w:val="0056667D"/>
    <w:rsid w:val="00571D82"/>
    <w:rsid w:val="005740BE"/>
    <w:rsid w:val="005A3D29"/>
    <w:rsid w:val="005B1EC8"/>
    <w:rsid w:val="005D61FB"/>
    <w:rsid w:val="005D7A4B"/>
    <w:rsid w:val="005E126E"/>
    <w:rsid w:val="005F7BFD"/>
    <w:rsid w:val="00600046"/>
    <w:rsid w:val="00611129"/>
    <w:rsid w:val="006153FF"/>
    <w:rsid w:val="0063530C"/>
    <w:rsid w:val="00643289"/>
    <w:rsid w:val="00644A36"/>
    <w:rsid w:val="00647FA2"/>
    <w:rsid w:val="0065295B"/>
    <w:rsid w:val="006576A5"/>
    <w:rsid w:val="00657C76"/>
    <w:rsid w:val="00660AA2"/>
    <w:rsid w:val="00680AC1"/>
    <w:rsid w:val="006F1791"/>
    <w:rsid w:val="006F3DCA"/>
    <w:rsid w:val="006F7824"/>
    <w:rsid w:val="0070642E"/>
    <w:rsid w:val="0071257D"/>
    <w:rsid w:val="00720281"/>
    <w:rsid w:val="007258B8"/>
    <w:rsid w:val="00741943"/>
    <w:rsid w:val="00752D8E"/>
    <w:rsid w:val="00757675"/>
    <w:rsid w:val="007606CC"/>
    <w:rsid w:val="00763355"/>
    <w:rsid w:val="00767DDE"/>
    <w:rsid w:val="00770141"/>
    <w:rsid w:val="00772E42"/>
    <w:rsid w:val="00776D48"/>
    <w:rsid w:val="0078397A"/>
    <w:rsid w:val="00792413"/>
    <w:rsid w:val="007C12E8"/>
    <w:rsid w:val="007C2E0C"/>
    <w:rsid w:val="007D2332"/>
    <w:rsid w:val="007E0480"/>
    <w:rsid w:val="007E2C36"/>
    <w:rsid w:val="007F7E24"/>
    <w:rsid w:val="00807808"/>
    <w:rsid w:val="00810DFE"/>
    <w:rsid w:val="00811FD6"/>
    <w:rsid w:val="008222F5"/>
    <w:rsid w:val="00825B2E"/>
    <w:rsid w:val="008262B3"/>
    <w:rsid w:val="00836AB4"/>
    <w:rsid w:val="00851A7D"/>
    <w:rsid w:val="00860CA6"/>
    <w:rsid w:val="008619EC"/>
    <w:rsid w:val="00861B5D"/>
    <w:rsid w:val="00874BFB"/>
    <w:rsid w:val="008831F3"/>
    <w:rsid w:val="00890C45"/>
    <w:rsid w:val="00896E54"/>
    <w:rsid w:val="008A10E2"/>
    <w:rsid w:val="008B3D27"/>
    <w:rsid w:val="008C4C6D"/>
    <w:rsid w:val="008F6674"/>
    <w:rsid w:val="009167B4"/>
    <w:rsid w:val="009216E7"/>
    <w:rsid w:val="00950A7E"/>
    <w:rsid w:val="00950D37"/>
    <w:rsid w:val="00965E93"/>
    <w:rsid w:val="00966D65"/>
    <w:rsid w:val="00973196"/>
    <w:rsid w:val="009801BE"/>
    <w:rsid w:val="009905AA"/>
    <w:rsid w:val="00996EA8"/>
    <w:rsid w:val="009A1F32"/>
    <w:rsid w:val="009A44BB"/>
    <w:rsid w:val="009B2245"/>
    <w:rsid w:val="009D2DFB"/>
    <w:rsid w:val="009E6A9F"/>
    <w:rsid w:val="009F02BB"/>
    <w:rsid w:val="009F0C87"/>
    <w:rsid w:val="00A17F5A"/>
    <w:rsid w:val="00A204CD"/>
    <w:rsid w:val="00A26940"/>
    <w:rsid w:val="00A42D30"/>
    <w:rsid w:val="00A67288"/>
    <w:rsid w:val="00A73690"/>
    <w:rsid w:val="00A83C6E"/>
    <w:rsid w:val="00A843FD"/>
    <w:rsid w:val="00AC5416"/>
    <w:rsid w:val="00AF4441"/>
    <w:rsid w:val="00AF63C3"/>
    <w:rsid w:val="00AF6949"/>
    <w:rsid w:val="00B14D0D"/>
    <w:rsid w:val="00B243BE"/>
    <w:rsid w:val="00B24FA7"/>
    <w:rsid w:val="00B335EC"/>
    <w:rsid w:val="00B35AA8"/>
    <w:rsid w:val="00B3673E"/>
    <w:rsid w:val="00B45C5C"/>
    <w:rsid w:val="00B64C54"/>
    <w:rsid w:val="00B7264B"/>
    <w:rsid w:val="00B737B8"/>
    <w:rsid w:val="00B75CA2"/>
    <w:rsid w:val="00B81CAE"/>
    <w:rsid w:val="00B87C8D"/>
    <w:rsid w:val="00B95F6C"/>
    <w:rsid w:val="00B974A3"/>
    <w:rsid w:val="00BA2BE7"/>
    <w:rsid w:val="00BB364E"/>
    <w:rsid w:val="00BB7946"/>
    <w:rsid w:val="00BC0B6B"/>
    <w:rsid w:val="00BD58F8"/>
    <w:rsid w:val="00BE4151"/>
    <w:rsid w:val="00BE4609"/>
    <w:rsid w:val="00C07ECC"/>
    <w:rsid w:val="00C126D9"/>
    <w:rsid w:val="00C1297B"/>
    <w:rsid w:val="00C15C97"/>
    <w:rsid w:val="00C227A6"/>
    <w:rsid w:val="00C2617E"/>
    <w:rsid w:val="00C36E18"/>
    <w:rsid w:val="00C42B55"/>
    <w:rsid w:val="00C5472B"/>
    <w:rsid w:val="00C7529A"/>
    <w:rsid w:val="00C866CA"/>
    <w:rsid w:val="00C91D43"/>
    <w:rsid w:val="00C97D4E"/>
    <w:rsid w:val="00CA4FF4"/>
    <w:rsid w:val="00CA6854"/>
    <w:rsid w:val="00CB0149"/>
    <w:rsid w:val="00CB1140"/>
    <w:rsid w:val="00CB12E0"/>
    <w:rsid w:val="00CC322F"/>
    <w:rsid w:val="00CF1FEE"/>
    <w:rsid w:val="00CF5A9A"/>
    <w:rsid w:val="00D104B9"/>
    <w:rsid w:val="00D109D5"/>
    <w:rsid w:val="00D132BB"/>
    <w:rsid w:val="00D43B57"/>
    <w:rsid w:val="00D721ED"/>
    <w:rsid w:val="00D73B0D"/>
    <w:rsid w:val="00D763D4"/>
    <w:rsid w:val="00D77126"/>
    <w:rsid w:val="00D773C1"/>
    <w:rsid w:val="00D913E7"/>
    <w:rsid w:val="00D95E00"/>
    <w:rsid w:val="00DA0DEC"/>
    <w:rsid w:val="00DC43E5"/>
    <w:rsid w:val="00DC5EC2"/>
    <w:rsid w:val="00DF2DF4"/>
    <w:rsid w:val="00E02CE8"/>
    <w:rsid w:val="00E16BA6"/>
    <w:rsid w:val="00E44E83"/>
    <w:rsid w:val="00E8175C"/>
    <w:rsid w:val="00E820EF"/>
    <w:rsid w:val="00E91B27"/>
    <w:rsid w:val="00E9258B"/>
    <w:rsid w:val="00EA2E77"/>
    <w:rsid w:val="00EB1C29"/>
    <w:rsid w:val="00EB2FC0"/>
    <w:rsid w:val="00EB60A6"/>
    <w:rsid w:val="00EC4E0C"/>
    <w:rsid w:val="00ED5ECD"/>
    <w:rsid w:val="00ED6354"/>
    <w:rsid w:val="00ED6F0A"/>
    <w:rsid w:val="00EF7193"/>
    <w:rsid w:val="00F015D8"/>
    <w:rsid w:val="00F04502"/>
    <w:rsid w:val="00F047D5"/>
    <w:rsid w:val="00F34284"/>
    <w:rsid w:val="00F408BA"/>
    <w:rsid w:val="00F421D4"/>
    <w:rsid w:val="00F8135B"/>
    <w:rsid w:val="00F860EB"/>
    <w:rsid w:val="00F87620"/>
    <w:rsid w:val="00F907D0"/>
    <w:rsid w:val="00F92538"/>
    <w:rsid w:val="00FA74FE"/>
    <w:rsid w:val="00FC7C49"/>
    <w:rsid w:val="00FD3ACF"/>
    <w:rsid w:val="00FF0807"/>
    <w:rsid w:val="00FF34DF"/>
    <w:rsid w:val="00FF4938"/>
    <w:rsid w:val="00FF54A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FFC5"/>
  <w15:docId w15:val="{061C7F6C-6EB4-497C-A451-73348ED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29D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9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2D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13</cp:revision>
  <cp:lastPrinted>2021-02-01T10:48:00Z</cp:lastPrinted>
  <dcterms:created xsi:type="dcterms:W3CDTF">2018-01-31T06:53:00Z</dcterms:created>
  <dcterms:modified xsi:type="dcterms:W3CDTF">2022-01-29T10:43:00Z</dcterms:modified>
</cp:coreProperties>
</file>